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954" w:rsidRPr="008A0954" w:rsidRDefault="008A0954" w:rsidP="008A0954">
      <w:pPr>
        <w:keepNext/>
        <w:spacing w:after="0" w:line="240" w:lineRule="auto"/>
        <w:outlineLvl w:val="4"/>
        <w:rPr>
          <w:rFonts w:ascii="Times New Roman Bold" w:eastAsia="ヒラギノ角ゴ Pro W3" w:hAnsi="Times New Roman Bold" w:cs="Times New Roman" w:hint="eastAsia"/>
          <w:smallCaps/>
          <w:color w:val="000000"/>
          <w:sz w:val="28"/>
          <w:szCs w:val="20"/>
        </w:rPr>
      </w:pPr>
      <w:r w:rsidRPr="008A0954">
        <w:rPr>
          <w:rFonts w:ascii="Times New Roman Bold" w:eastAsia="ヒラギノ角ゴ Pro W3" w:hAnsi="Times New Roman Bold" w:cs="Times New Roman"/>
          <w:smallCaps/>
          <w:color w:val="000000"/>
          <w:sz w:val="28"/>
          <w:szCs w:val="20"/>
        </w:rPr>
        <w:t xml:space="preserve">Class Session: The President and </w:t>
      </w:r>
      <w:r>
        <w:rPr>
          <w:rFonts w:ascii="Times New Roman Bold" w:eastAsia="ヒラギノ角ゴ Pro W3" w:hAnsi="Times New Roman Bold" w:cs="Times New Roman"/>
          <w:smallCaps/>
          <w:color w:val="000000"/>
          <w:sz w:val="28"/>
          <w:szCs w:val="20"/>
        </w:rPr>
        <w:t>Foreign Affairs</w:t>
      </w:r>
    </w:p>
    <w:p w:rsidR="008A0954" w:rsidRPr="008A0954" w:rsidRDefault="008A0954" w:rsidP="008A0954">
      <w:pPr>
        <w:spacing w:after="0" w:line="240" w:lineRule="auto"/>
        <w:ind w:firstLine="360"/>
        <w:rPr>
          <w:rFonts w:ascii="Calibri" w:eastAsia="Calibri" w:hAnsi="Calibri" w:cs="Times New Roman"/>
        </w:rPr>
      </w:pPr>
    </w:p>
    <w:p w:rsidR="008A0954" w:rsidRDefault="008A0954" w:rsidP="008A0954">
      <w:pPr>
        <w:spacing w:line="240" w:lineRule="atLeast"/>
      </w:pPr>
      <w:r>
        <w:t xml:space="preserve">Writing in the 1960s, political scientist Aaron </w:t>
      </w:r>
      <w:proofErr w:type="spellStart"/>
      <w:r>
        <w:t>Wildvasky</w:t>
      </w:r>
      <w:proofErr w:type="spellEnd"/>
      <w:r>
        <w:t xml:space="preserve"> claimed that the United States has only one president but has two presidencies—one when it comes to domestic policy and another when it comes to foreign policy. Although </w:t>
      </w:r>
      <w:proofErr w:type="spellStart"/>
      <w:r>
        <w:t>Wildavsky’s</w:t>
      </w:r>
      <w:proofErr w:type="spellEnd"/>
      <w:r>
        <w:t xml:space="preserve"> thesis is now regarded as an oversimplification, presidents are less constrained in the foreign policy realm than in the domestic policy realm. Although, for example, the Constitution assigns Congress the power to declare war, the decision to send US troops into hostile action in practice rests with the president. </w:t>
      </w:r>
    </w:p>
    <w:p w:rsidR="008A0954" w:rsidRDefault="008A0954" w:rsidP="008A0954">
      <w:pPr>
        <w:spacing w:line="240" w:lineRule="atLeast"/>
      </w:pPr>
      <w:r>
        <w:t xml:space="preserve">In this session, we’ll examine the president’s comparative advantages—for example, control over information—in the making of foreign policy. We’ll look particularly at executive agreements—treaty-like arrangements authorized solely by the president—and the war power. President Bush’s decision to invade Iraq in 2003 will serve as a case study. </w:t>
      </w:r>
    </w:p>
    <w:p w:rsidR="008A0954" w:rsidRPr="008A0954" w:rsidRDefault="008A0954" w:rsidP="008A0954">
      <w:pPr>
        <w:spacing w:after="0" w:line="240" w:lineRule="atLeast"/>
        <w:ind w:firstLine="360"/>
        <w:rPr>
          <w:rFonts w:ascii="Calibri" w:eastAsia="Calibri" w:hAnsi="Calibri" w:cs="Times New Roman"/>
        </w:rPr>
      </w:pPr>
    </w:p>
    <w:p w:rsidR="008A0954" w:rsidRPr="008A0954" w:rsidRDefault="008A0954" w:rsidP="008A0954">
      <w:pPr>
        <w:spacing w:after="0" w:line="240" w:lineRule="atLeast"/>
        <w:rPr>
          <w:rFonts w:ascii="Calibri" w:eastAsia="Calibri" w:hAnsi="Calibri" w:cs="Times New Roman"/>
          <w:b/>
        </w:rPr>
      </w:pPr>
      <w:r w:rsidRPr="008A0954">
        <w:rPr>
          <w:rFonts w:ascii="Calibri" w:eastAsia="Calibri" w:hAnsi="Calibri" w:cs="Times New Roman"/>
          <w:b/>
        </w:rPr>
        <w:t>Text Readings:</w:t>
      </w:r>
    </w:p>
    <w:p w:rsidR="008A0954" w:rsidRPr="008A0954" w:rsidRDefault="008A0954" w:rsidP="008A0954">
      <w:pPr>
        <w:spacing w:after="0" w:line="240" w:lineRule="atLeast"/>
        <w:ind w:left="360"/>
        <w:rPr>
          <w:rFonts w:ascii="Calibri" w:eastAsia="Calibri" w:hAnsi="Calibri" w:cs="Times New Roman"/>
        </w:rPr>
      </w:pPr>
      <w:r w:rsidRPr="008A0954">
        <w:rPr>
          <w:rFonts w:ascii="Calibri" w:eastAsia="Calibri" w:hAnsi="Calibri" w:cs="Times New Roman"/>
        </w:rPr>
        <w:t xml:space="preserve">Thomas E. Patterson, </w:t>
      </w:r>
      <w:r w:rsidRPr="008A0954">
        <w:rPr>
          <w:rFonts w:ascii="Calibri" w:eastAsia="Calibri" w:hAnsi="Calibri" w:cs="Times New Roman"/>
          <w:i/>
        </w:rPr>
        <w:t>We the People: An Introduction to American Government</w:t>
      </w:r>
      <w:r w:rsidRPr="008A0954">
        <w:rPr>
          <w:rFonts w:ascii="Calibri" w:eastAsia="Calibri" w:hAnsi="Calibri" w:cs="Times New Roman"/>
        </w:rPr>
        <w:t xml:space="preserve">, 11e (NY: McGraw-Hill, 2015): </w:t>
      </w:r>
      <w:r>
        <w:t xml:space="preserve">387-391, </w:t>
      </w:r>
      <w:r w:rsidRPr="00C131A1">
        <w:t>399-402, 548-549</w:t>
      </w:r>
      <w:r>
        <w:t xml:space="preserve"> </w:t>
      </w:r>
      <w:hyperlink r:id="rId4" w:history="1">
        <w:r w:rsidRPr="00C131A1">
          <w:rPr>
            <w:rStyle w:val="Hyperlink"/>
          </w:rPr>
          <w:t>http://shop.mheducation.com/highered/product.M007802479X.html</w:t>
        </w:r>
      </w:hyperlink>
    </w:p>
    <w:p w:rsidR="008A0954" w:rsidRPr="008A0954" w:rsidRDefault="008A0954" w:rsidP="008A0954">
      <w:pPr>
        <w:spacing w:after="0" w:line="240" w:lineRule="atLeast"/>
        <w:ind w:firstLine="360"/>
        <w:rPr>
          <w:rFonts w:ascii="Calibri" w:eastAsia="Calibri" w:hAnsi="Calibri" w:cs="Times New Roman"/>
        </w:rPr>
      </w:pPr>
    </w:p>
    <w:p w:rsidR="008A0954" w:rsidRPr="008A0954" w:rsidRDefault="008A0954" w:rsidP="008A0954">
      <w:pPr>
        <w:spacing w:after="0" w:line="240" w:lineRule="atLeast"/>
        <w:rPr>
          <w:rFonts w:ascii="Calibri" w:eastAsia="Calibri" w:hAnsi="Calibri" w:cs="Times New Roman"/>
          <w:b/>
        </w:rPr>
      </w:pPr>
      <w:r w:rsidRPr="008A0954">
        <w:rPr>
          <w:rFonts w:ascii="Calibri" w:eastAsia="Calibri" w:hAnsi="Calibri" w:cs="Times New Roman"/>
          <w:b/>
        </w:rPr>
        <w:t>Other Readings:</w:t>
      </w:r>
      <w:bookmarkStart w:id="0" w:name="_GoBack"/>
      <w:bookmarkEnd w:id="0"/>
    </w:p>
    <w:p w:rsidR="008A0954" w:rsidRDefault="008A0954" w:rsidP="008A0954">
      <w:pPr>
        <w:spacing w:after="0" w:line="240" w:lineRule="auto"/>
        <w:ind w:left="345"/>
      </w:pPr>
      <w:proofErr w:type="spellStart"/>
      <w:r>
        <w:t>Brandice</w:t>
      </w:r>
      <w:proofErr w:type="spellEnd"/>
      <w:r>
        <w:t xml:space="preserve"> Canes-</w:t>
      </w:r>
      <w:proofErr w:type="spellStart"/>
      <w:r>
        <w:t>Wrone</w:t>
      </w:r>
      <w:proofErr w:type="spellEnd"/>
      <w:r>
        <w:t xml:space="preserve">, William G. Howell, and David E. Lewis, “Toward a Broader Understanding of Presidential Power: A Reevaluation of the Two Presidencies Thesis,” </w:t>
      </w:r>
      <w:r>
        <w:rPr>
          <w:i/>
        </w:rPr>
        <w:t xml:space="preserve">Journal of Politics </w:t>
      </w:r>
      <w:r>
        <w:t xml:space="preserve">70 (2008). Read only pages 1-6 and page 14. </w:t>
      </w:r>
      <w:hyperlink r:id="rId5" w:history="1">
        <w:r w:rsidRPr="0033567D">
          <w:rPr>
            <w:rStyle w:val="Hyperlink"/>
          </w:rPr>
          <w:t>http://home.uchicago.edu/~whowell/papers/TowardABroader.pdf</w:t>
        </w:r>
      </w:hyperlink>
    </w:p>
    <w:p w:rsidR="008A0954" w:rsidRDefault="008A0954" w:rsidP="008A0954">
      <w:pPr>
        <w:spacing w:after="0" w:line="240" w:lineRule="auto"/>
        <w:rPr>
          <w:color w:val="1A1A1A"/>
        </w:rPr>
      </w:pPr>
      <w:r>
        <w:t xml:space="preserve"> </w:t>
      </w:r>
    </w:p>
    <w:p w:rsidR="008A0954" w:rsidRPr="00C17077" w:rsidRDefault="008A0954" w:rsidP="008A0954">
      <w:pPr>
        <w:spacing w:after="0" w:line="240" w:lineRule="auto"/>
        <w:rPr>
          <w:i/>
          <w:color w:val="1A1A1A"/>
        </w:rPr>
      </w:pPr>
      <w:r>
        <w:rPr>
          <w:color w:val="1A1A1A"/>
        </w:rPr>
        <w:t xml:space="preserve">       </w:t>
      </w:r>
      <w:r w:rsidRPr="00310F01">
        <w:rPr>
          <w:color w:val="1A1A1A"/>
        </w:rPr>
        <w:t>Isaacson, Walter, “Who Declares War</w:t>
      </w:r>
      <w:r>
        <w:rPr>
          <w:color w:val="1A1A1A"/>
        </w:rPr>
        <w:t>,</w:t>
      </w:r>
      <w:r w:rsidRPr="00310F01">
        <w:rPr>
          <w:color w:val="1A1A1A"/>
        </w:rPr>
        <w:t>”</w:t>
      </w:r>
      <w:r>
        <w:rPr>
          <w:color w:val="1A1A1A"/>
        </w:rPr>
        <w:t xml:space="preserve"> </w:t>
      </w:r>
      <w:r>
        <w:rPr>
          <w:i/>
          <w:color w:val="1A1A1A"/>
        </w:rPr>
        <w:t xml:space="preserve">New York Times Sunday Book Review, </w:t>
      </w:r>
      <w:r w:rsidRPr="00C17077">
        <w:rPr>
          <w:color w:val="1A1A1A"/>
        </w:rPr>
        <w:t xml:space="preserve">January </w:t>
      </w:r>
      <w:r>
        <w:rPr>
          <w:color w:val="1A1A1A"/>
        </w:rPr>
        <w:t>2</w:t>
      </w:r>
      <w:r w:rsidRPr="00C17077">
        <w:rPr>
          <w:color w:val="1A1A1A"/>
        </w:rPr>
        <w:t>1, 2010.</w:t>
      </w:r>
    </w:p>
    <w:p w:rsidR="008A0954" w:rsidRDefault="001B7847" w:rsidP="008A0954">
      <w:pPr>
        <w:ind w:firstLine="720"/>
        <w:rPr>
          <w:rStyle w:val="Hyperlink"/>
        </w:rPr>
      </w:pPr>
      <w:hyperlink r:id="rId6" w:history="1">
        <w:r w:rsidR="008A0954" w:rsidRPr="00310F01">
          <w:rPr>
            <w:rStyle w:val="Hyperlink"/>
          </w:rPr>
          <w:t>http://www.nytimes.com/2010/01/24/books/review/Isaacson-t.html?pagewanted=all&amp;_r=0</w:t>
        </w:r>
      </w:hyperlink>
    </w:p>
    <w:p w:rsidR="008A0954" w:rsidRDefault="008A0954" w:rsidP="008A0954">
      <w:pPr>
        <w:ind w:left="345"/>
        <w:rPr>
          <w:color w:val="1A1A1A"/>
        </w:rPr>
      </w:pPr>
      <w:r>
        <w:rPr>
          <w:color w:val="1A1A1A"/>
        </w:rPr>
        <w:t xml:space="preserve">Mueller, John, “The Iraq Syndrome,” </w:t>
      </w:r>
      <w:r>
        <w:rPr>
          <w:i/>
          <w:color w:val="1A1A1A"/>
        </w:rPr>
        <w:t xml:space="preserve">Foreign Affairs </w:t>
      </w:r>
      <w:r>
        <w:rPr>
          <w:color w:val="1A1A1A"/>
        </w:rPr>
        <w:t xml:space="preserve">85 (2005); 44-54. </w:t>
      </w:r>
      <w:hyperlink r:id="rId7" w:history="1">
        <w:r w:rsidRPr="0033567D">
          <w:rPr>
            <w:rStyle w:val="Hyperlink"/>
          </w:rPr>
          <w:t>http://politicalscience.osu.edu/faculty/jmueller/FAiraqsyndrome.pdf</w:t>
        </w:r>
      </w:hyperlink>
    </w:p>
    <w:p w:rsidR="008A0954" w:rsidRPr="008A0954" w:rsidRDefault="008A0954" w:rsidP="008A0954">
      <w:pPr>
        <w:spacing w:after="0" w:line="240" w:lineRule="atLeast"/>
        <w:ind w:firstLine="360"/>
        <w:rPr>
          <w:rFonts w:ascii="Calibri" w:eastAsia="Calibri" w:hAnsi="Calibri" w:cs="Times New Roman"/>
        </w:rPr>
      </w:pPr>
    </w:p>
    <w:p w:rsidR="008A0954" w:rsidRPr="008A0954" w:rsidRDefault="008A0954" w:rsidP="008A0954">
      <w:pPr>
        <w:spacing w:after="0" w:line="240" w:lineRule="atLeast"/>
        <w:rPr>
          <w:rFonts w:ascii="Calibri" w:eastAsia="Calibri" w:hAnsi="Calibri" w:cs="Times New Roman"/>
        </w:rPr>
      </w:pPr>
      <w:r w:rsidRPr="008A0954">
        <w:rPr>
          <w:rFonts w:ascii="Calibri" w:eastAsia="Calibri" w:hAnsi="Calibri" w:cs="Times New Roman"/>
          <w:b/>
        </w:rPr>
        <w:t xml:space="preserve">Case Readings </w:t>
      </w:r>
      <w:r w:rsidRPr="008A0954">
        <w:rPr>
          <w:rFonts w:ascii="Calibri" w:eastAsia="Calibri" w:hAnsi="Calibri" w:cs="Times New Roman"/>
        </w:rPr>
        <w:t xml:space="preserve">The session will </w:t>
      </w:r>
      <w:r w:rsidR="006552F0">
        <w:rPr>
          <w:rFonts w:ascii="Calibri" w:eastAsia="Calibri" w:hAnsi="Calibri" w:cs="Times New Roman"/>
        </w:rPr>
        <w:t>examine the Bush Administration’s efforts to gain public, congressional and media support for the invasion of Iraq in 2003.</w:t>
      </w:r>
    </w:p>
    <w:p w:rsidR="008A0954" w:rsidRDefault="006552F0" w:rsidP="006552F0">
      <w:pPr>
        <w:spacing w:after="0" w:line="240" w:lineRule="atLeast"/>
        <w:ind w:left="360"/>
      </w:pPr>
      <w:r>
        <w:rPr>
          <w:rFonts w:ascii="Calibri" w:eastAsia="Calibri" w:hAnsi="Calibri" w:cs="Times New Roman"/>
        </w:rPr>
        <w:t>Wikipedia, “The Iraq Invasion,” read only the first sections, stopping with “Military Aspects.” We are focusing on the lead-up to the invasion rather than invasion itself.</w:t>
      </w:r>
      <w:r>
        <w:t xml:space="preserve"> </w:t>
      </w:r>
    </w:p>
    <w:p w:rsidR="008A0954" w:rsidRDefault="001B7847" w:rsidP="006552F0">
      <w:pPr>
        <w:ind w:firstLine="360"/>
      </w:pPr>
      <w:hyperlink r:id="rId8" w:history="1">
        <w:r w:rsidR="006552F0" w:rsidRPr="00F60F2A">
          <w:rPr>
            <w:rStyle w:val="Hyperlink"/>
          </w:rPr>
          <w:t>https://en.wikipedia.org/wiki/2003_invasion_of_Iraq</w:t>
        </w:r>
      </w:hyperlink>
    </w:p>
    <w:p w:rsidR="006552F0" w:rsidRDefault="006552F0" w:rsidP="008A0954"/>
    <w:sectPr w:rsidR="006552F0" w:rsidSect="001B78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ヒラギノ角ゴ Pro W3">
    <w:altName w:val="MS Mincho"/>
    <w:charset w:val="4E"/>
    <w:family w:val="auto"/>
    <w:pitch w:val="variable"/>
    <w:sig w:usb0="00000000"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0954"/>
    <w:rsid w:val="001B7847"/>
    <w:rsid w:val="00340EEB"/>
    <w:rsid w:val="006552F0"/>
    <w:rsid w:val="008A0954"/>
    <w:rsid w:val="00A51A61"/>
    <w:rsid w:val="00CD20F9"/>
    <w:rsid w:val="00F23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9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9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95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389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2003_invasion_of_Iraq" TargetMode="External"/><Relationship Id="rId3" Type="http://schemas.openxmlformats.org/officeDocument/2006/relationships/webSettings" Target="webSettings.xml"/><Relationship Id="rId7" Type="http://schemas.openxmlformats.org/officeDocument/2006/relationships/hyperlink" Target="http://politicalscience.osu.edu/faculty/jmueller/FAiraqsyndrom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ytimes.com/2010/01/24/books/review/Isaacson-t.html?pagewanted=all&amp;_r=0" TargetMode="External"/><Relationship Id="rId11" Type="http://schemas.microsoft.com/office/2007/relationships/stylesWithEffects" Target="stylesWithEffects.xml"/><Relationship Id="rId5" Type="http://schemas.openxmlformats.org/officeDocument/2006/relationships/hyperlink" Target="http://home.uchicago.edu/~whowell/papers/TowardABroader.pdf" TargetMode="External"/><Relationship Id="rId10" Type="http://schemas.openxmlformats.org/officeDocument/2006/relationships/theme" Target="theme/theme1.xml"/><Relationship Id="rId4" Type="http://schemas.openxmlformats.org/officeDocument/2006/relationships/hyperlink" Target="http://shop.mheducation.com/highered/product.M007802479X.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2015-10-16T16:21:00Z</dcterms:created>
  <dcterms:modified xsi:type="dcterms:W3CDTF">2015-10-16T16:21:00Z</dcterms:modified>
</cp:coreProperties>
</file>