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1BFD3" w14:textId="326A980B" w:rsidR="00111D3D" w:rsidRDefault="0054165D" w:rsidP="00F67603">
      <w:pPr>
        <w:jc w:val="center"/>
      </w:pPr>
      <w:r>
        <w:t>Citizens</w:t>
      </w:r>
      <w:r w:rsidR="00111D3D">
        <w:t xml:space="preserve"> M</w:t>
      </w:r>
      <w:r w:rsidR="00F02F2B">
        <w:t>ay</w:t>
      </w:r>
      <w:r w:rsidR="00111D3D">
        <w:t xml:space="preserve"> Have a Right to Vote, But Then Again</w:t>
      </w:r>
      <w:r w:rsidR="00834D00">
        <w:t xml:space="preserve"> . . .</w:t>
      </w:r>
    </w:p>
    <w:p w14:paraId="210853EC" w14:textId="14DB2C6A" w:rsidR="00834D00" w:rsidRDefault="00834D00" w:rsidP="00F67603">
      <w:pPr>
        <w:jc w:val="center"/>
      </w:pPr>
      <w:r>
        <w:t>Thomas E. Patterson</w:t>
      </w:r>
    </w:p>
    <w:p w14:paraId="28053F05" w14:textId="77777777" w:rsidR="00F67603" w:rsidRDefault="00F67603"/>
    <w:p w14:paraId="5A12F35C" w14:textId="4272823C" w:rsidR="00D70C65" w:rsidRDefault="00D70C65">
      <w:r>
        <w:t xml:space="preserve">Do </w:t>
      </w:r>
      <w:r w:rsidR="00CB287E">
        <w:t xml:space="preserve">U.S. </w:t>
      </w:r>
      <w:r>
        <w:t>citizens have a</w:t>
      </w:r>
      <w:r w:rsidR="00F67603">
        <w:t>n unqualified</w:t>
      </w:r>
      <w:r>
        <w:t xml:space="preserve"> right to vote? Americans say that they do and, at election time, they are urged to exercise th</w:t>
      </w:r>
      <w:r w:rsidR="00F02F2B">
        <w:t>at right</w:t>
      </w:r>
      <w:r w:rsidR="007557D7">
        <w:t xml:space="preserve">. </w:t>
      </w:r>
      <w:r w:rsidR="00DD6A32">
        <w:t>Yet, the U.S. Supreme</w:t>
      </w:r>
      <w:r w:rsidR="00CB287E">
        <w:t xml:space="preserve"> Court</w:t>
      </w:r>
      <w:r w:rsidR="00DD6A32">
        <w:t xml:space="preserve"> – or more precisely, a faction within the Court </w:t>
      </w:r>
      <w:r w:rsidR="00652964">
        <w:t>–</w:t>
      </w:r>
      <w:r w:rsidR="00DD6A32">
        <w:t xml:space="preserve"> </w:t>
      </w:r>
      <w:r w:rsidR="00652964">
        <w:t xml:space="preserve">holds a different </w:t>
      </w:r>
      <w:r w:rsidR="009A718D">
        <w:t xml:space="preserve">view, as do </w:t>
      </w:r>
      <w:r w:rsidR="0054165D">
        <w:t>a</w:t>
      </w:r>
      <w:r w:rsidR="00E05C49">
        <w:t xml:space="preserve"> corresponding </w:t>
      </w:r>
      <w:r w:rsidR="00B1283B">
        <w:t>group</w:t>
      </w:r>
      <w:r w:rsidR="00E05C49">
        <w:t xml:space="preserve"> of elected officials.</w:t>
      </w:r>
    </w:p>
    <w:p w14:paraId="0EA0983D" w14:textId="11873184" w:rsidR="00E05C49" w:rsidRDefault="00F56FAD">
      <w:r>
        <w:t>In 1937</w:t>
      </w:r>
      <w:r w:rsidR="006E3533">
        <w:t xml:space="preserve">, </w:t>
      </w:r>
      <w:r w:rsidR="00490FE7">
        <w:t xml:space="preserve">the Supreme Court </w:t>
      </w:r>
      <w:r w:rsidR="009630F8">
        <w:t xml:space="preserve">argued that </w:t>
      </w:r>
      <w:r w:rsidR="00141E27">
        <w:t xml:space="preserve">Americans’ rights are hierarchical, that some are more </w:t>
      </w:r>
      <w:r w:rsidR="00490FE7">
        <w:t>fundamental</w:t>
      </w:r>
      <w:r w:rsidR="00141E27">
        <w:t xml:space="preserve"> </w:t>
      </w:r>
      <w:r w:rsidR="006E0DF1">
        <w:t xml:space="preserve">than others. The </w:t>
      </w:r>
      <w:r w:rsidR="00016800">
        <w:t xml:space="preserve">ruling came in </w:t>
      </w:r>
      <w:hyperlink r:id="rId4" w:history="1">
        <w:r w:rsidR="006E0DF1" w:rsidRPr="00F04798">
          <w:rPr>
            <w:rStyle w:val="Hyperlink"/>
            <w:i/>
            <w:iCs/>
          </w:rPr>
          <w:t>Palko v. Connecticut</w:t>
        </w:r>
      </w:hyperlink>
      <w:r w:rsidR="006E0DF1">
        <w:t xml:space="preserve"> </w:t>
      </w:r>
      <w:r w:rsidR="00381875">
        <w:t xml:space="preserve">in which the Court declined to extend </w:t>
      </w:r>
      <w:r w:rsidR="00B36C82">
        <w:t xml:space="preserve">double-jeopardy </w:t>
      </w:r>
      <w:r w:rsidR="00381875">
        <w:t xml:space="preserve">protection </w:t>
      </w:r>
      <w:r w:rsidR="00016800">
        <w:t xml:space="preserve">to cases arising under state law. </w:t>
      </w:r>
      <w:r w:rsidR="00CA492B">
        <w:t>Barely</w:t>
      </w:r>
      <w:r w:rsidR="00016800">
        <w:t xml:space="preserve"> more than a decade earlier</w:t>
      </w:r>
      <w:r w:rsidR="000106A1">
        <w:t xml:space="preserve">, the </w:t>
      </w:r>
      <w:r w:rsidR="00CB287E">
        <w:t>c</w:t>
      </w:r>
      <w:r w:rsidR="000106A1">
        <w:t xml:space="preserve">ourt had </w:t>
      </w:r>
      <w:r w:rsidR="00402289">
        <w:t>up</w:t>
      </w:r>
      <w:r w:rsidR="000106A1">
        <w:t xml:space="preserve">held the right of free speech </w:t>
      </w:r>
      <w:r w:rsidR="00402289">
        <w:t xml:space="preserve">as </w:t>
      </w:r>
      <w:r w:rsidR="00497335">
        <w:t xml:space="preserve">being protected </w:t>
      </w:r>
      <w:r w:rsidR="00402289">
        <w:t>against state action</w:t>
      </w:r>
      <w:r w:rsidR="00200066">
        <w:t xml:space="preserve">. In justifying why one right and not another </w:t>
      </w:r>
      <w:r w:rsidR="00402289">
        <w:t>was</w:t>
      </w:r>
      <w:r w:rsidR="00200066">
        <w:t xml:space="preserve"> protected, </w:t>
      </w:r>
      <w:r w:rsidR="00153470">
        <w:t xml:space="preserve">the </w:t>
      </w:r>
      <w:r w:rsidR="00CB287E">
        <w:t>c</w:t>
      </w:r>
      <w:r w:rsidR="00153470">
        <w:t xml:space="preserve">ourt </w:t>
      </w:r>
      <w:r w:rsidR="00CB287E">
        <w:t>decided</w:t>
      </w:r>
      <w:r w:rsidR="0058453E">
        <w:t xml:space="preserve"> that the Fourteenth Amendment protects rights “fundamental” to liberty but</w:t>
      </w:r>
      <w:r w:rsidR="00536D21">
        <w:t xml:space="preserve"> does</w:t>
      </w:r>
      <w:r w:rsidR="0058453E">
        <w:t xml:space="preserve"> not </w:t>
      </w:r>
      <w:r w:rsidR="008D3854">
        <w:t>necessarily</w:t>
      </w:r>
      <w:r w:rsidR="00536D21">
        <w:t xml:space="preserve"> protect</w:t>
      </w:r>
      <w:r w:rsidR="008D3854">
        <w:t xml:space="preserve"> other rights. Free expression</w:t>
      </w:r>
      <w:r w:rsidR="00B9386B">
        <w:t xml:space="preserve"> was said to be “fundamental” in that it was “the indispensable condition of nearly every other right.”</w:t>
      </w:r>
    </w:p>
    <w:p w14:paraId="30CCAB37" w14:textId="67DCD4BA" w:rsidR="00624ED6" w:rsidRDefault="000767B0" w:rsidP="00624ED6">
      <w:r>
        <w:t>Is the right to vote “fundamental”?</w:t>
      </w:r>
      <w:r w:rsidR="00983161">
        <w:t xml:space="preserve"> By the </w:t>
      </w:r>
      <w:r w:rsidR="00CB287E">
        <w:t xml:space="preserve">Supreme </w:t>
      </w:r>
      <w:r w:rsidR="00983161">
        <w:t xml:space="preserve">Court’s own definition, it would appear to be. If citizens can be denied their </w:t>
      </w:r>
      <w:r w:rsidR="00AA0509">
        <w:t xml:space="preserve">right to vote, democracy would be a hollow promise. </w:t>
      </w:r>
      <w:r w:rsidR="00CF565D">
        <w:t>T</w:t>
      </w:r>
      <w:r w:rsidR="00AA0509">
        <w:t>he wording of the Fourteenth Amendment</w:t>
      </w:r>
      <w:r w:rsidR="00624ED6">
        <w:t>’s equal protection clause</w:t>
      </w:r>
      <w:r w:rsidR="00AA0509">
        <w:t xml:space="preserve"> would </w:t>
      </w:r>
      <w:r w:rsidR="00CF565D">
        <w:t xml:space="preserve">also </w:t>
      </w:r>
      <w:r w:rsidR="00153470">
        <w:t xml:space="preserve">appear to </w:t>
      </w:r>
      <w:r w:rsidR="00AA0509">
        <w:t>suggest</w:t>
      </w:r>
      <w:r w:rsidR="0089645E">
        <w:t xml:space="preserve"> that states do not have the authority to erect barriers</w:t>
      </w:r>
      <w:r w:rsidR="00B1283B">
        <w:t xml:space="preserve"> </w:t>
      </w:r>
      <w:r w:rsidR="00144EE9">
        <w:t>designed to restrict the ballot access of particular groups:</w:t>
      </w:r>
      <w:r w:rsidR="00E35128">
        <w:t xml:space="preserve"> The </w:t>
      </w:r>
      <w:r w:rsidR="00FF0F8B">
        <w:t>a</w:t>
      </w:r>
      <w:r w:rsidR="00E35128">
        <w:t xml:space="preserve">mendment reads in part, </w:t>
      </w:r>
      <w:r w:rsidR="00624ED6">
        <w:t>“No state shall deny . . . any person within its jurisdiction the equal protection of the laws.”</w:t>
      </w:r>
    </w:p>
    <w:p w14:paraId="4B32DCEA" w14:textId="2AEC8FAF" w:rsidR="005665DF" w:rsidRDefault="00B53018" w:rsidP="002D7A22">
      <w:r>
        <w:t>Yet, in a series of decisions stretching back to 2008, the Supreme Court has upheld state laws that burden the voting righ</w:t>
      </w:r>
      <w:r w:rsidR="00FE213F">
        <w:t xml:space="preserve">ts of particular groups. </w:t>
      </w:r>
      <w:r w:rsidR="002D7A22">
        <w:t xml:space="preserve">It let stand, for example, a </w:t>
      </w:r>
      <w:hyperlink r:id="rId5" w:history="1">
        <w:r w:rsidR="002D7A22" w:rsidRPr="00084238">
          <w:rPr>
            <w:rStyle w:val="Hyperlink"/>
          </w:rPr>
          <w:t>2017 North Dakota law</w:t>
        </w:r>
      </w:hyperlink>
      <w:r w:rsidR="002D7A22">
        <w:t xml:space="preserve"> that requires residents to have written proof of a street address before they can vote. The law targeted Native Americans who live on rural tribal lands, which don’t have names and numbers on all their roads.</w:t>
      </w:r>
    </w:p>
    <w:p w14:paraId="68ECAB53" w14:textId="1F01F34C" w:rsidR="00DC16A9" w:rsidRDefault="005665DF" w:rsidP="00490A8B">
      <w:r>
        <w:t>The most far-reaching of the</w:t>
      </w:r>
      <w:r w:rsidR="00B14BA1">
        <w:t xml:space="preserve"> Supreme Court’s</w:t>
      </w:r>
      <w:r>
        <w:t xml:space="preserve"> decisions </w:t>
      </w:r>
      <w:r w:rsidR="00FF0F8B">
        <w:t>is</w:t>
      </w:r>
      <w:r w:rsidR="00490A8B">
        <w:t xml:space="preserve"> </w:t>
      </w:r>
      <w:hyperlink r:id="rId6" w:history="1">
        <w:r w:rsidR="00490A8B" w:rsidRPr="00084238">
          <w:rPr>
            <w:rStyle w:val="Hyperlink"/>
            <w:i/>
            <w:iCs/>
          </w:rPr>
          <w:t>Crawford v. Marion County Election Board</w:t>
        </w:r>
      </w:hyperlink>
      <w:r w:rsidR="00DC16A9">
        <w:t xml:space="preserve">, </w:t>
      </w:r>
      <w:r w:rsidR="00FF0F8B">
        <w:t xml:space="preserve">a 2008 ruling that </w:t>
      </w:r>
      <w:r w:rsidR="00DC16A9">
        <w:t xml:space="preserve">upheld an Indiana law that requires </w:t>
      </w:r>
      <w:r w:rsidR="00490A8B">
        <w:t xml:space="preserve">citizens to have a government-issued photo ID card, such as a driver’s license or passport, in order to register to vote. </w:t>
      </w:r>
      <w:r w:rsidR="00DC16A9">
        <w:t>That decision opened the way for more than two</w:t>
      </w:r>
      <w:r w:rsidR="00FF0F8B">
        <w:t xml:space="preserve"> </w:t>
      </w:r>
      <w:r w:rsidR="00AA3754">
        <w:t>dozen other states to pass similar laws</w:t>
      </w:r>
      <w:r w:rsidR="00B5248B">
        <w:t xml:space="preserve">. And who, exactly, </w:t>
      </w:r>
      <w:r w:rsidR="00215B2E">
        <w:t xml:space="preserve">are </w:t>
      </w:r>
      <w:r w:rsidR="00B26A56">
        <w:t>the</w:t>
      </w:r>
      <w:r w:rsidR="00215B2E">
        <w:t xml:space="preserve"> </w:t>
      </w:r>
      <w:hyperlink r:id="rId7" w:history="1">
        <w:r w:rsidR="00215B2E" w:rsidRPr="006058C5">
          <w:rPr>
            <w:rStyle w:val="Hyperlink"/>
          </w:rPr>
          <w:t xml:space="preserve">Americans </w:t>
        </w:r>
        <w:r w:rsidR="00B26A56" w:rsidRPr="006058C5">
          <w:rPr>
            <w:rStyle w:val="Hyperlink"/>
          </w:rPr>
          <w:t>who</w:t>
        </w:r>
        <w:r w:rsidR="00215B2E" w:rsidRPr="006058C5">
          <w:rPr>
            <w:rStyle w:val="Hyperlink"/>
          </w:rPr>
          <w:t xml:space="preserve"> don’t have a driver’s license or passport</w:t>
        </w:r>
      </w:hyperlink>
      <w:r w:rsidR="00B26A56">
        <w:t>? Well,</w:t>
      </w:r>
      <w:r w:rsidR="0055789B">
        <w:t xml:space="preserve"> compared with non-Hispanic white</w:t>
      </w:r>
      <w:r w:rsidR="00FF0F8B">
        <w:t xml:space="preserve"> people</w:t>
      </w:r>
      <w:r w:rsidR="0055789B">
        <w:t xml:space="preserve">, </w:t>
      </w:r>
      <w:r w:rsidR="00FF0F8B">
        <w:t>B</w:t>
      </w:r>
      <w:r w:rsidR="00B26A56">
        <w:t xml:space="preserve">lack Americans are about three times </w:t>
      </w:r>
      <w:r w:rsidR="00D1144F">
        <w:t>more likely</w:t>
      </w:r>
      <w:r w:rsidR="0055789B">
        <w:t xml:space="preserve"> not to have </w:t>
      </w:r>
      <w:r w:rsidR="005239C5">
        <w:t xml:space="preserve">one, whereas Hispanics are nearly twice as likely. </w:t>
      </w:r>
    </w:p>
    <w:p w14:paraId="52753BA3" w14:textId="57DE5A33" w:rsidR="00BC0552" w:rsidRDefault="000D342C" w:rsidP="00490A8B">
      <w:r>
        <w:t xml:space="preserve">America has a lengthy history of abridging voting rights, most clearly in </w:t>
      </w:r>
      <w:r w:rsidR="00AC25BB">
        <w:t xml:space="preserve">the South during the Jim Crow era when </w:t>
      </w:r>
      <w:hyperlink r:id="rId8" w:history="1">
        <w:r w:rsidR="00AC25BB" w:rsidRPr="00FA4361">
          <w:rPr>
            <w:rStyle w:val="Hyperlink"/>
          </w:rPr>
          <w:t>the grandfather clause</w:t>
        </w:r>
      </w:hyperlink>
      <w:r w:rsidR="00AC25BB">
        <w:t xml:space="preserve">, whites-only primaries, poll taxes and literacy tests were devised as </w:t>
      </w:r>
      <w:r w:rsidR="000E4316">
        <w:t>way</w:t>
      </w:r>
      <w:r w:rsidR="00FA4361">
        <w:t>s</w:t>
      </w:r>
      <w:r w:rsidR="000E4316">
        <w:t xml:space="preserve"> to</w:t>
      </w:r>
      <w:r w:rsidR="00AC25BB">
        <w:t xml:space="preserve"> </w:t>
      </w:r>
      <w:r w:rsidR="008E37B1">
        <w:t>disenfranchis</w:t>
      </w:r>
      <w:r w:rsidR="000E4316">
        <w:t>e</w:t>
      </w:r>
      <w:r w:rsidR="008E37B1">
        <w:t xml:space="preserve"> African Americans. </w:t>
      </w:r>
      <w:commentRangeStart w:id="0"/>
      <w:r w:rsidR="008E37B1">
        <w:t xml:space="preserve">That </w:t>
      </w:r>
      <w:r w:rsidR="00953242">
        <w:t xml:space="preserve">type of </w:t>
      </w:r>
      <w:commentRangeEnd w:id="0"/>
      <w:r w:rsidR="00DC3A8C">
        <w:t xml:space="preserve">disenfranchisement </w:t>
      </w:r>
      <w:r w:rsidR="000543CE">
        <w:rPr>
          <w:rStyle w:val="CommentReference"/>
        </w:rPr>
        <w:commentReference w:id="0"/>
      </w:r>
      <w:r w:rsidR="008E37B1">
        <w:t>was thought to have ended with passage of the 1965 Voting Rights Act</w:t>
      </w:r>
      <w:r w:rsidR="00BC0552">
        <w:t>.</w:t>
      </w:r>
    </w:p>
    <w:p w14:paraId="7F27BBAF" w14:textId="47058ADC" w:rsidR="006B2183" w:rsidRDefault="00007625" w:rsidP="006B2183">
      <w:r>
        <w:t xml:space="preserve">The Supreme Court </w:t>
      </w:r>
      <w:r w:rsidR="008B1286">
        <w:t>weakened</w:t>
      </w:r>
      <w:r w:rsidR="006D30F3">
        <w:t xml:space="preserve"> that protection </w:t>
      </w:r>
      <w:r w:rsidR="006B2183">
        <w:t>in 2013</w:t>
      </w:r>
      <w:r w:rsidR="000E4316">
        <w:t>. In</w:t>
      </w:r>
      <w:r w:rsidR="000E4316">
        <w:rPr>
          <w:rFonts w:cstheme="minorHAnsi"/>
        </w:rPr>
        <w:t xml:space="preserve"> </w:t>
      </w:r>
      <w:hyperlink r:id="rId13" w:tooltip="https://www.oyez.org/cases/2012/12-96" w:history="1">
        <w:r w:rsidR="00A40382" w:rsidRPr="00AC12BC">
          <w:rPr>
            <w:rStyle w:val="Hyperlink"/>
            <w:rFonts w:cstheme="minorHAnsi"/>
            <w:i/>
            <w:iCs/>
            <w:color w:val="46A1DC"/>
          </w:rPr>
          <w:t>Shelby County v. Holder</w:t>
        </w:r>
      </w:hyperlink>
      <w:r w:rsidR="00891EEC">
        <w:rPr>
          <w:rStyle w:val="Hyperlink"/>
          <w:rFonts w:cstheme="minorHAnsi"/>
          <w:color w:val="46A1DC"/>
        </w:rPr>
        <w:t xml:space="preserve">, </w:t>
      </w:r>
      <w:r w:rsidR="006B2183">
        <w:t>it invalidated the provision of the Voting Rights Act that required states and counties</w:t>
      </w:r>
      <w:r w:rsidR="00141F99">
        <w:t xml:space="preserve"> with a history of voter suppression</w:t>
      </w:r>
      <w:r w:rsidR="006B2183">
        <w:t xml:space="preserve"> to get permission from a federal judge before changing election procedures in a way that could disadvantage a minority group. Freed of the preclearance requirement, legislatures </w:t>
      </w:r>
      <w:r w:rsidR="007A37EA">
        <w:t>throughout</w:t>
      </w:r>
      <w:r w:rsidR="006B2183">
        <w:t xml:space="preserve"> the South </w:t>
      </w:r>
      <w:r w:rsidR="00141F99">
        <w:t xml:space="preserve">have </w:t>
      </w:r>
      <w:r w:rsidR="00876015">
        <w:t>place</w:t>
      </w:r>
      <w:r w:rsidR="00DC3A8C">
        <w:t>d</w:t>
      </w:r>
      <w:r w:rsidR="00876015">
        <w:t xml:space="preserve"> </w:t>
      </w:r>
      <w:r w:rsidR="006B2183">
        <w:t xml:space="preserve">new </w:t>
      </w:r>
      <w:r w:rsidR="00876015">
        <w:t>restrictions on voter eligibility</w:t>
      </w:r>
      <w:r w:rsidR="006B2183">
        <w:t xml:space="preserve">. </w:t>
      </w:r>
    </w:p>
    <w:p w14:paraId="04237D2A" w14:textId="0F3DD7C6" w:rsidR="00E20BCB" w:rsidRDefault="00E20BCB" w:rsidP="006B2183">
      <w:r>
        <w:lastRenderedPageBreak/>
        <w:t xml:space="preserve">There’s a pattern </w:t>
      </w:r>
      <w:r w:rsidR="00866317">
        <w:t>to</w:t>
      </w:r>
      <w:r>
        <w:t xml:space="preserve"> all of this. None of the aforementioned Supreme Court </w:t>
      </w:r>
      <w:r w:rsidR="00EB2359">
        <w:t xml:space="preserve">rulings was decided by </w:t>
      </w:r>
      <w:r w:rsidR="00866317">
        <w:t xml:space="preserve">a </w:t>
      </w:r>
      <w:r w:rsidR="00EB2359">
        <w:t>unanimous vote. Most were 5-4 decisions with all of the justices in the majority being Republican appointees</w:t>
      </w:r>
      <w:r w:rsidR="00A6312D">
        <w:t xml:space="preserve">. As for the states that </w:t>
      </w:r>
      <w:r w:rsidR="00866317">
        <w:t xml:space="preserve">have </w:t>
      </w:r>
      <w:r w:rsidR="00A6312D">
        <w:t xml:space="preserve">imposed additional burdens on the vote, virtually all </w:t>
      </w:r>
      <w:r w:rsidR="0020631F">
        <w:t xml:space="preserve">were under Republican control </w:t>
      </w:r>
      <w:r w:rsidR="00A6312D">
        <w:t>at the time the law was passed</w:t>
      </w:r>
      <w:r w:rsidR="006F7977">
        <w:t>.</w:t>
      </w:r>
    </w:p>
    <w:p w14:paraId="24383362" w14:textId="4315AE3A" w:rsidR="00202A13" w:rsidRDefault="006F7977" w:rsidP="006B2183">
      <w:r>
        <w:t>The legal justification</w:t>
      </w:r>
      <w:r w:rsidR="00423B58">
        <w:t xml:space="preserve"> employed by </w:t>
      </w:r>
      <w:r>
        <w:t xml:space="preserve">the </w:t>
      </w:r>
      <w:r w:rsidR="0020631F">
        <w:t xml:space="preserve">Supreme Court’s </w:t>
      </w:r>
      <w:r w:rsidR="00423B58">
        <w:t xml:space="preserve">Republican-appointed justices is the </w:t>
      </w:r>
      <w:r w:rsidR="008F413E">
        <w:t xml:space="preserve">sanctity </w:t>
      </w:r>
      <w:r w:rsidR="00DB5EA0">
        <w:t xml:space="preserve">of the ballot. </w:t>
      </w:r>
      <w:r w:rsidR="00891EEC">
        <w:t>P</w:t>
      </w:r>
      <w:r w:rsidR="0099373E">
        <w:t>recedent</w:t>
      </w:r>
      <w:r w:rsidR="00BB03AB">
        <w:t xml:space="preserve"> </w:t>
      </w:r>
      <w:r w:rsidR="00D22B97">
        <w:t xml:space="preserve">for their position </w:t>
      </w:r>
      <w:r w:rsidR="000117BD">
        <w:t>exists</w:t>
      </w:r>
      <w:r w:rsidR="0099373E">
        <w:t xml:space="preserve">. In </w:t>
      </w:r>
      <w:hyperlink r:id="rId14" w:history="1">
        <w:r w:rsidR="000117BD" w:rsidRPr="000117BD">
          <w:rPr>
            <w:rStyle w:val="Hyperlink"/>
            <w:i/>
            <w:iCs/>
          </w:rPr>
          <w:t>Rosario v. Rockefeller</w:t>
        </w:r>
      </w:hyperlink>
      <w:r w:rsidR="000117BD">
        <w:t xml:space="preserve"> </w:t>
      </w:r>
      <w:r w:rsidR="00D22B97">
        <w:t>(1</w:t>
      </w:r>
      <w:r w:rsidR="000117BD">
        <w:t>973</w:t>
      </w:r>
      <w:r w:rsidR="00D22B97">
        <w:t>)</w:t>
      </w:r>
      <w:r w:rsidR="0099373E">
        <w:t xml:space="preserve">, the Court held that "preservation of the integrity of the electoral process is a legitimate and valid state goal." </w:t>
      </w:r>
      <w:r w:rsidR="00DC6AB9">
        <w:t>In light of the fact that illegal voting is exceedingly rare, it</w:t>
      </w:r>
      <w:r w:rsidR="00104B1D">
        <w:t xml:space="preserve"> i</w:t>
      </w:r>
      <w:r w:rsidR="00DC6AB9">
        <w:t xml:space="preserve">s </w:t>
      </w:r>
      <w:r w:rsidR="009D7761">
        <w:t xml:space="preserve">a thin reed on which to hang </w:t>
      </w:r>
      <w:r w:rsidR="008F413E">
        <w:t>far</w:t>
      </w:r>
      <w:r w:rsidR="00FE6272">
        <w:t>-</w:t>
      </w:r>
      <w:r w:rsidR="008F413E">
        <w:t>reaching</w:t>
      </w:r>
      <w:r w:rsidR="009D7761">
        <w:t xml:space="preserve"> decisions</w:t>
      </w:r>
      <w:r w:rsidR="00DC6AB9">
        <w:t xml:space="preserve">. But </w:t>
      </w:r>
      <w:r w:rsidR="005B2B67">
        <w:t>the precedent is</w:t>
      </w:r>
      <w:r w:rsidR="00DC6AB9">
        <w:t xml:space="preserve"> there, and the</w:t>
      </w:r>
      <w:r w:rsidR="009D7761">
        <w:t xml:space="preserve"> Court’s Republican</w:t>
      </w:r>
      <w:r w:rsidR="00C15629">
        <w:t>-appointed</w:t>
      </w:r>
      <w:r w:rsidR="009D7761">
        <w:t xml:space="preserve"> majority</w:t>
      </w:r>
      <w:r w:rsidR="00202A13">
        <w:t xml:space="preserve"> has </w:t>
      </w:r>
      <w:r w:rsidR="00D22B97">
        <w:t>used</w:t>
      </w:r>
      <w:r w:rsidR="00104B1D">
        <w:t xml:space="preserve"> it</w:t>
      </w:r>
      <w:r w:rsidR="00202A13">
        <w:t>.</w:t>
      </w:r>
    </w:p>
    <w:p w14:paraId="18ACF1E4" w14:textId="77777777" w:rsidR="00C15629" w:rsidRDefault="00C15629" w:rsidP="007A11D5">
      <w:pPr>
        <w:rPr>
          <w:rFonts w:ascii="Georgia" w:hAnsi="Georgia"/>
          <w:i/>
          <w:iCs/>
          <w:color w:val="555555"/>
          <w:shd w:val="clear" w:color="auto" w:fill="FFFFFF"/>
        </w:rPr>
      </w:pPr>
    </w:p>
    <w:p w14:paraId="681569BE" w14:textId="493CDC14" w:rsidR="00DC16A9" w:rsidRDefault="00AC12BC" w:rsidP="00AC12BC">
      <w:r w:rsidRPr="00AC12BC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 xml:space="preserve">Thomas E. Patterson is </w:t>
      </w:r>
      <w:proofErr w:type="spellStart"/>
      <w:r w:rsidRPr="00AC12BC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>Bradlee</w:t>
      </w:r>
      <w:proofErr w:type="spellEnd"/>
      <w:r w:rsidRPr="00AC12BC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 xml:space="preserve"> Professor of Government &amp; the Press at Harvard’s Kennedy School and author of McGraw Hill’s introductory American government text, </w:t>
      </w:r>
      <w:hyperlink r:id="rId15" w:history="1">
        <w:r w:rsidRPr="00AC12BC">
          <w:rPr>
            <w:rFonts w:cstheme="minorHAnsi"/>
            <w:b/>
            <w:bCs/>
            <w:color w:val="0563C1"/>
            <w:sz w:val="24"/>
            <w:szCs w:val="24"/>
            <w:u w:val="single"/>
            <w:shd w:val="clear" w:color="auto" w:fill="FFFFFF"/>
          </w:rPr>
          <w:t>We the People</w:t>
        </w:r>
      </w:hyperlink>
      <w:r w:rsidRPr="00AC12BC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>.</w:t>
      </w:r>
      <w:r w:rsidRPr="00AC12BC">
        <w:rPr>
          <w:rFonts w:cstheme="minorHAnsi"/>
          <w:color w:val="0000FF"/>
          <w:sz w:val="24"/>
          <w:szCs w:val="24"/>
          <w:u w:val="single"/>
          <w:shd w:val="clear" w:color="auto" w:fill="FFFFFF"/>
        </w:rPr>
        <w:t xml:space="preserve"> </w:t>
      </w:r>
      <w:r w:rsidRPr="00AC12BC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 xml:space="preserve">A new edition of </w:t>
      </w:r>
      <w:r w:rsidRPr="00AC12BC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>We the People</w:t>
      </w:r>
      <w:r w:rsidRPr="00AC12BC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 xml:space="preserve"> (the 14</w:t>
      </w:r>
      <w:r w:rsidRPr="00AC12BC">
        <w:rPr>
          <w:rFonts w:cstheme="minorHAnsi"/>
          <w:i/>
          <w:iCs/>
          <w:color w:val="555555"/>
          <w:sz w:val="24"/>
          <w:szCs w:val="24"/>
          <w:shd w:val="clear" w:color="auto" w:fill="FFFFFF"/>
          <w:vertAlign w:val="superscript"/>
        </w:rPr>
        <w:t>th</w:t>
      </w:r>
      <w:r w:rsidRPr="00AC12BC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>) will be available in late December and include the results of the November election.</w:t>
      </w:r>
    </w:p>
    <w:sectPr w:rsidR="00DC1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Denise Ordway" w:date="2020-08-04T09:07:00Z" w:initials="DO">
    <w:p w14:paraId="1CB1A14B" w14:textId="3B915605" w:rsidR="000543CE" w:rsidRDefault="000543CE">
      <w:pPr>
        <w:pStyle w:val="CommentText"/>
      </w:pPr>
      <w:r>
        <w:rPr>
          <w:rStyle w:val="CommentReference"/>
        </w:rPr>
        <w:annotationRef/>
      </w:r>
      <w:r>
        <w:t xml:space="preserve">Tom, I wonder if we should consider changing this phrase. “Mischief” seems to, in my view, downplay whites-only primaries, etc. I’m flagging it here because I predict it will draw criticism.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CB1A1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3A3BE" w16cex:dateUtc="2020-08-04T13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B1A14B" w16cid:durableId="22D3A3B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enise Ordway">
    <w15:presenceInfo w15:providerId="Windows Live" w15:userId="b917363b08043a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FE"/>
    <w:rsid w:val="00007625"/>
    <w:rsid w:val="000106A1"/>
    <w:rsid w:val="000117BD"/>
    <w:rsid w:val="00016800"/>
    <w:rsid w:val="0004398D"/>
    <w:rsid w:val="00046D64"/>
    <w:rsid w:val="000543CE"/>
    <w:rsid w:val="000767B0"/>
    <w:rsid w:val="00084238"/>
    <w:rsid w:val="000D342C"/>
    <w:rsid w:val="000E429A"/>
    <w:rsid w:val="000E4316"/>
    <w:rsid w:val="000F49A8"/>
    <w:rsid w:val="00104B1D"/>
    <w:rsid w:val="00111D3D"/>
    <w:rsid w:val="00141E27"/>
    <w:rsid w:val="00141F99"/>
    <w:rsid w:val="001443F2"/>
    <w:rsid w:val="00144EE9"/>
    <w:rsid w:val="00153470"/>
    <w:rsid w:val="0016628E"/>
    <w:rsid w:val="001725AD"/>
    <w:rsid w:val="00173D63"/>
    <w:rsid w:val="001A49D5"/>
    <w:rsid w:val="00200066"/>
    <w:rsid w:val="00202A13"/>
    <w:rsid w:val="0020631F"/>
    <w:rsid w:val="002131FE"/>
    <w:rsid w:val="00215B2E"/>
    <w:rsid w:val="002C688D"/>
    <w:rsid w:val="002D7A22"/>
    <w:rsid w:val="00311B2E"/>
    <w:rsid w:val="00336E03"/>
    <w:rsid w:val="0034120C"/>
    <w:rsid w:val="00351997"/>
    <w:rsid w:val="00381875"/>
    <w:rsid w:val="00381A52"/>
    <w:rsid w:val="003A0018"/>
    <w:rsid w:val="003B2E00"/>
    <w:rsid w:val="00402289"/>
    <w:rsid w:val="00423B58"/>
    <w:rsid w:val="00440EFF"/>
    <w:rsid w:val="004649D9"/>
    <w:rsid w:val="00466EED"/>
    <w:rsid w:val="004768EC"/>
    <w:rsid w:val="00490A8B"/>
    <w:rsid w:val="00490FE7"/>
    <w:rsid w:val="00497335"/>
    <w:rsid w:val="004A02C9"/>
    <w:rsid w:val="004A16D6"/>
    <w:rsid w:val="004A31A6"/>
    <w:rsid w:val="005239C5"/>
    <w:rsid w:val="00536D21"/>
    <w:rsid w:val="0054165D"/>
    <w:rsid w:val="0055789B"/>
    <w:rsid w:val="00565764"/>
    <w:rsid w:val="005665DF"/>
    <w:rsid w:val="00575D0E"/>
    <w:rsid w:val="0058453E"/>
    <w:rsid w:val="00591DEC"/>
    <w:rsid w:val="005B2B67"/>
    <w:rsid w:val="0060364F"/>
    <w:rsid w:val="006058C5"/>
    <w:rsid w:val="00624ED6"/>
    <w:rsid w:val="00652964"/>
    <w:rsid w:val="00653FE3"/>
    <w:rsid w:val="006B2183"/>
    <w:rsid w:val="006D30F3"/>
    <w:rsid w:val="006E0DF1"/>
    <w:rsid w:val="006E3533"/>
    <w:rsid w:val="006F7977"/>
    <w:rsid w:val="00725929"/>
    <w:rsid w:val="00755764"/>
    <w:rsid w:val="007557D7"/>
    <w:rsid w:val="007A11D5"/>
    <w:rsid w:val="007A37EA"/>
    <w:rsid w:val="007B28B0"/>
    <w:rsid w:val="008019F7"/>
    <w:rsid w:val="00816BAD"/>
    <w:rsid w:val="00834D00"/>
    <w:rsid w:val="0085196F"/>
    <w:rsid w:val="00855A38"/>
    <w:rsid w:val="00866317"/>
    <w:rsid w:val="00876015"/>
    <w:rsid w:val="00880538"/>
    <w:rsid w:val="008873AB"/>
    <w:rsid w:val="00891EEC"/>
    <w:rsid w:val="0089645E"/>
    <w:rsid w:val="008B1286"/>
    <w:rsid w:val="008D3854"/>
    <w:rsid w:val="008E37B1"/>
    <w:rsid w:val="008F413E"/>
    <w:rsid w:val="00900A2C"/>
    <w:rsid w:val="00953242"/>
    <w:rsid w:val="0095727E"/>
    <w:rsid w:val="009630F8"/>
    <w:rsid w:val="00966C7C"/>
    <w:rsid w:val="00981996"/>
    <w:rsid w:val="00983161"/>
    <w:rsid w:val="009934B4"/>
    <w:rsid w:val="0099373E"/>
    <w:rsid w:val="009A4E30"/>
    <w:rsid w:val="009A718D"/>
    <w:rsid w:val="009D7761"/>
    <w:rsid w:val="009E139B"/>
    <w:rsid w:val="00A40382"/>
    <w:rsid w:val="00A6312D"/>
    <w:rsid w:val="00A904EA"/>
    <w:rsid w:val="00A91A2D"/>
    <w:rsid w:val="00AA0509"/>
    <w:rsid w:val="00AA2F8E"/>
    <w:rsid w:val="00AA3754"/>
    <w:rsid w:val="00AB5F61"/>
    <w:rsid w:val="00AC12BC"/>
    <w:rsid w:val="00AC25BB"/>
    <w:rsid w:val="00B1283B"/>
    <w:rsid w:val="00B14BA1"/>
    <w:rsid w:val="00B26A56"/>
    <w:rsid w:val="00B36C82"/>
    <w:rsid w:val="00B373CC"/>
    <w:rsid w:val="00B5248B"/>
    <w:rsid w:val="00B53018"/>
    <w:rsid w:val="00B668AC"/>
    <w:rsid w:val="00B9386B"/>
    <w:rsid w:val="00BB03AB"/>
    <w:rsid w:val="00BB3BF4"/>
    <w:rsid w:val="00BC0552"/>
    <w:rsid w:val="00BE40AF"/>
    <w:rsid w:val="00C15629"/>
    <w:rsid w:val="00C9201B"/>
    <w:rsid w:val="00CA492B"/>
    <w:rsid w:val="00CB287E"/>
    <w:rsid w:val="00CD0D4E"/>
    <w:rsid w:val="00CF565D"/>
    <w:rsid w:val="00D1144F"/>
    <w:rsid w:val="00D22B97"/>
    <w:rsid w:val="00D40C08"/>
    <w:rsid w:val="00D523CF"/>
    <w:rsid w:val="00D70C65"/>
    <w:rsid w:val="00DA29B7"/>
    <w:rsid w:val="00DB5EA0"/>
    <w:rsid w:val="00DC071D"/>
    <w:rsid w:val="00DC16A9"/>
    <w:rsid w:val="00DC3A8C"/>
    <w:rsid w:val="00DC6AB9"/>
    <w:rsid w:val="00DD6A32"/>
    <w:rsid w:val="00DE4F05"/>
    <w:rsid w:val="00E05C49"/>
    <w:rsid w:val="00E20BCB"/>
    <w:rsid w:val="00E35128"/>
    <w:rsid w:val="00EB2359"/>
    <w:rsid w:val="00EC140D"/>
    <w:rsid w:val="00ED1624"/>
    <w:rsid w:val="00ED6E21"/>
    <w:rsid w:val="00EE5592"/>
    <w:rsid w:val="00F02F2B"/>
    <w:rsid w:val="00F04798"/>
    <w:rsid w:val="00F10781"/>
    <w:rsid w:val="00F3525E"/>
    <w:rsid w:val="00F3711C"/>
    <w:rsid w:val="00F56FAD"/>
    <w:rsid w:val="00F67603"/>
    <w:rsid w:val="00FA4361"/>
    <w:rsid w:val="00FA6106"/>
    <w:rsid w:val="00FC70DE"/>
    <w:rsid w:val="00FE213F"/>
    <w:rsid w:val="00FE6272"/>
    <w:rsid w:val="00FF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CDF5D"/>
  <w15:chartTrackingRefBased/>
  <w15:docId w15:val="{D878E712-4739-4156-AE7D-7E9390CB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11D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F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73A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87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87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4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3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r.org/sections/codeswitch/2013/10/21/239081586/the-racial-history-of-the-grandfather-clause" TargetMode="External"/><Relationship Id="rId13" Type="http://schemas.openxmlformats.org/officeDocument/2006/relationships/hyperlink" Target="https://urldefense.proofpoint.com/v2/url?u=https-3A__www.oyez.org_cases_2012_12-2D96&amp;d=DwMFaQ&amp;c=WO-RGvefibhHBZq3fL85hQ&amp;r=BeE_4PzdIMmSMod1Zbct5MUw0MjmkAcz6scM_495XKI&amp;m=dfFyHvMFEmHswIkE50dVv0x_HNvC9bh-B7hU-vMawNw&amp;s=vlr08MzIs9rJO7AKm1k7J6uG6VIdAWCM8Pjo-n-bexE&amp;e=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rldefense.proofpoint.com/v2/url?u=https-3A__www.brennancenter.org_our-2Dwork_research-2Dreports_new-2Dvoter-2Dsuppression&amp;d=DwMFaQ&amp;c=WO-RGvefibhHBZq3fL85hQ&amp;r=BeE_4PzdIMmSMod1Zbct5MUw0MjmkAcz6scM_495XKI&amp;m=dfFyHvMFEmHswIkE50dVv0x_HNvC9bh-B7hU-vMawNw&amp;s=-th2GE1bRDDKjK8mlkVkN79Sy7dsdY9bpi7TSmOdAKk&amp;e=" TargetMode="Externa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rldefense.proofpoint.com/v2/url?u=https-3A__www.oyez.org_cases_2007_07-2D21&amp;d=DwMFaQ&amp;c=WO-RGvefibhHBZq3fL85hQ&amp;r=BeE_4PzdIMmSMod1Zbct5MUw0MjmkAcz6scM_495XKI&amp;m=dfFyHvMFEmHswIkE50dVv0x_HNvC9bh-B7hU-vMawNw&amp;s=EZ2l2Hb5THV8UOsynn_3_PnlCUhsMAuqWtmcij8qjX8&amp;e=" TargetMode="External"/><Relationship Id="rId11" Type="http://schemas.microsoft.com/office/2016/09/relationships/commentsIds" Target="commentsIds.xml"/><Relationship Id="rId5" Type="http://schemas.openxmlformats.org/officeDocument/2006/relationships/hyperlink" Target="https://urldefense.proofpoint.com/v2/url?u=https-3A__www.scotusblog.com_2018_10_court-2Dstays-2Dout-2Dof-2Dnorth-2Ddakota-2Dvoting-2Ddispute_&amp;d=DwMFaQ&amp;c=WO-RGvefibhHBZq3fL85hQ&amp;r=BeE_4PzdIMmSMod1Zbct5MUw0MjmkAcz6scM_495XKI&amp;m=dfFyHvMFEmHswIkE50dVv0x_HNvC9bh-B7hU-vMawNw&amp;s=if37rFskL1oLO44G8cyrLvj0EtR91TtuSLDouDtAXwM&amp;e=" TargetMode="External"/><Relationship Id="rId15" Type="http://schemas.openxmlformats.org/officeDocument/2006/relationships/hyperlink" Target="https://www.mheducation.com/highered/product/we-people-patterson/M9781259912405.html" TargetMode="External"/><Relationship Id="rId10" Type="http://schemas.microsoft.com/office/2011/relationships/commentsExtended" Target="commentsExtended.xml"/><Relationship Id="rId4" Type="http://schemas.openxmlformats.org/officeDocument/2006/relationships/hyperlink" Target="https://www.oyez.org/cases/1900-1940/302us319" TargetMode="External"/><Relationship Id="rId9" Type="http://schemas.openxmlformats.org/officeDocument/2006/relationships/comments" Target="comments.xml"/><Relationship Id="rId14" Type="http://schemas.openxmlformats.org/officeDocument/2006/relationships/hyperlink" Target="https://www.oyez.org/cases/1972/71-1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Thomas E.</dc:creator>
  <cp:keywords/>
  <dc:description/>
  <cp:lastModifiedBy>Patterson, Thomas E.</cp:lastModifiedBy>
  <cp:revision>5</cp:revision>
  <dcterms:created xsi:type="dcterms:W3CDTF">2020-10-20T07:46:00Z</dcterms:created>
  <dcterms:modified xsi:type="dcterms:W3CDTF">2020-10-21T15:07:00Z</dcterms:modified>
</cp:coreProperties>
</file>